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D4F7" w14:textId="525E3054" w:rsidR="0094188C" w:rsidRPr="0094188C" w:rsidRDefault="0094188C" w:rsidP="0094188C">
      <w:pPr>
        <w:shd w:val="clear" w:color="auto" w:fill="FFFFFF"/>
        <w:spacing w:after="300" w:line="240" w:lineRule="auto"/>
        <w:outlineLvl w:val="0"/>
        <w:rPr>
          <w:rFonts w:ascii="Roboto Slab" w:eastAsia="Times New Roman" w:hAnsi="Roboto Slab" w:cs="Times New Roman"/>
          <w:color w:val="3C6F90"/>
          <w:kern w:val="36"/>
          <w:sz w:val="53"/>
          <w:szCs w:val="53"/>
          <w:lang w:eastAsia="it-IT"/>
        </w:rPr>
      </w:pPr>
      <w:r w:rsidRPr="0094188C">
        <w:rPr>
          <w:rFonts w:ascii="Roboto Slab" w:eastAsia="Times New Roman" w:hAnsi="Roboto Slab" w:cs="Times New Roman"/>
          <w:color w:val="3C6F90"/>
          <w:kern w:val="36"/>
          <w:sz w:val="53"/>
          <w:szCs w:val="53"/>
          <w:lang w:eastAsia="it-IT"/>
        </w:rPr>
        <w:t>contributo Sostegni, continuità aziendale in caso di affitto d’azienda</w:t>
      </w:r>
    </w:p>
    <w:p w14:paraId="6991EE15" w14:textId="77777777" w:rsidR="0094188C" w:rsidRPr="0094188C" w:rsidRDefault="0094188C" w:rsidP="0094188C">
      <w:pPr>
        <w:shd w:val="clear" w:color="auto" w:fill="FFFFFF"/>
        <w:spacing w:after="300" w:line="375" w:lineRule="atLeast"/>
        <w:outlineLvl w:val="1"/>
        <w:rPr>
          <w:rFonts w:ascii="inherit" w:eastAsia="Times New Roman" w:hAnsi="inherit" w:cs="Times New Roman"/>
          <w:sz w:val="32"/>
          <w:szCs w:val="32"/>
          <w:lang w:eastAsia="it-IT"/>
        </w:rPr>
      </w:pPr>
      <w:r w:rsidRPr="0094188C">
        <w:rPr>
          <w:rFonts w:ascii="inherit" w:eastAsia="Times New Roman" w:hAnsi="inherit" w:cs="Times New Roman"/>
          <w:sz w:val="32"/>
          <w:szCs w:val="32"/>
          <w:lang w:eastAsia="it-IT"/>
        </w:rPr>
        <w:t>L’Agenzia delle Entrate fornisce ulteriori chiarimenti rispetto alla circolare n. 5/2021</w:t>
      </w:r>
    </w:p>
    <w:p w14:paraId="682E955C" w14:textId="5A3E4B85" w:rsidR="0094188C" w:rsidRPr="0094188C" w:rsidRDefault="0094188C" w:rsidP="0094188C">
      <w:pPr>
        <w:shd w:val="clear" w:color="auto" w:fill="FFFFFF"/>
        <w:spacing w:after="15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4188C">
        <w:rPr>
          <w:rFonts w:ascii="Roboto Slab" w:eastAsia="Times New Roman" w:hAnsi="Roboto Slab" w:cs="Times New Roman"/>
          <w:b/>
          <w:bCs/>
          <w:color w:val="68A6CE"/>
          <w:sz w:val="20"/>
          <w:szCs w:val="20"/>
          <w:lang w:eastAsia="it-IT"/>
        </w:rPr>
        <w:t> </w:t>
      </w:r>
      <w:r w:rsidRPr="0094188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5E24CEE6" w14:textId="77777777" w:rsidR="0094188C" w:rsidRPr="0094188C" w:rsidRDefault="0094188C" w:rsidP="0094188C">
      <w:pPr>
        <w:shd w:val="clear" w:color="auto" w:fill="FFFFFF"/>
        <w:spacing w:after="300" w:line="384" w:lineRule="atLeast"/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</w:pP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L’Agenzia delle Entrate ha pubblicato ieri una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serie di risposte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a interpello, dalla numero </w:t>
      </w:r>
      <w:hyperlink r:id="rId5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438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alla </w:t>
      </w:r>
      <w:hyperlink r:id="rId6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445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, riguardanti il contributo a fondo perduto del DL “Sostegni” (</w:t>
      </w:r>
      <w:hyperlink r:id="rId7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art. 1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del DL 41/2021).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br/>
        <w:t>In tutti i citati documenti di prassi si ricorda, in via preliminare, che la circolare n. </w:t>
      </w:r>
      <w:hyperlink r:id="rId8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5/2021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, appositamente dedicata a tale contributo, ha affermato che, per quanto non specificatamente esaminato e tenuto conto delle differenze del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contributo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“Sostegni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” rispetto al contributo a fondo perduto dell’</w:t>
      </w:r>
      <w:hyperlink r:id="rId9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art. 25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 xml:space="preserve"> del DL 34/2020, restano applicabili i chiarimenti già forniti con le circolari </w:t>
      </w:r>
      <w:proofErr w:type="spellStart"/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nn</w:t>
      </w:r>
      <w:proofErr w:type="spellEnd"/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. </w:t>
      </w:r>
      <w:hyperlink r:id="rId10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15/2020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e </w:t>
      </w:r>
      <w:hyperlink r:id="rId11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22/2020.</w:t>
        </w:r>
      </w:hyperlink>
    </w:p>
    <w:p w14:paraId="45223DA6" w14:textId="77777777" w:rsidR="0094188C" w:rsidRPr="0094188C" w:rsidRDefault="0094188C" w:rsidP="0094188C">
      <w:pPr>
        <w:shd w:val="clear" w:color="auto" w:fill="FFFFFF"/>
        <w:spacing w:after="300" w:line="384" w:lineRule="atLeast"/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</w:pP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Tanto premesso, in tema di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affitto d’azienda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 xml:space="preserve">, sono state pubblicate le risposte </w:t>
      </w:r>
      <w:proofErr w:type="spellStart"/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nn</w:t>
      </w:r>
      <w:proofErr w:type="spellEnd"/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. </w:t>
      </w:r>
      <w:hyperlink r:id="rId12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439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, </w:t>
      </w:r>
      <w:hyperlink r:id="rId13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444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e 445, in cui l’Agenzia delle Entrate, richiamando i chiarimenti della circolare 13 giugno 2020 n. 15 (§ 2.1) e della successiva circolare 21 luglio 2020 n. 22 (§ 4.5), ribadisce che nelle ipotesi in cui l’azienda sia oggetto di un contratto d’affitto occorrerà considerare i valori riferibili all’azienda oggetto del trasferimento, sia in relazione alle modalità di determinazione della soglia massima di ricavi o compensi, sia per quanto concerne il calcolo della riduzione del fatturato, nonché in relazione alle soglie di determinazione del contributo a fondo perduto.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br/>
        <w:t>In sostanza, in via generale, il contratto di affitto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non interrompe 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la continuità aziendale.</w:t>
      </w:r>
    </w:p>
    <w:p w14:paraId="4DA3D8F4" w14:textId="77777777" w:rsidR="0094188C" w:rsidRPr="0094188C" w:rsidRDefault="0094188C" w:rsidP="0094188C">
      <w:pPr>
        <w:shd w:val="clear" w:color="auto" w:fill="FFFFFF"/>
        <w:spacing w:after="300" w:line="384" w:lineRule="atLeast"/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</w:pP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 xml:space="preserve">Le risposte a interpello </w:t>
      </w:r>
      <w:proofErr w:type="spellStart"/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nn</w:t>
      </w:r>
      <w:proofErr w:type="spellEnd"/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. </w:t>
      </w:r>
      <w:hyperlink r:id="rId14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440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e </w:t>
      </w:r>
      <w:hyperlink r:id="rId15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441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ribadiscono invece quanto già chiarito con riferimento alla determinazione dei ricavi per i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distributori di carburanti 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dai precedenti documenti di prassi, secondo cui anche ai fini del calcolo delle soglie di cui al comma 5 dell’art. 1 del DL “Sostegni” è necessario fare riferimento alla nozione di ricavi determinata secondo le modalità di cui all’</w:t>
      </w:r>
      <w:hyperlink r:id="rId16" w:anchor="Comma10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art. 18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, comma 10 del DPR 600/73; l’ammontare dei ricavi o compensi da confrontare con la soglia in commento deve essere quindi determinata al netto del prezzo corrisposto al fornitore.</w:t>
      </w:r>
    </w:p>
    <w:p w14:paraId="21C6E5B4" w14:textId="77777777" w:rsidR="0094188C" w:rsidRPr="0094188C" w:rsidRDefault="0094188C" w:rsidP="0094188C">
      <w:pPr>
        <w:shd w:val="clear" w:color="auto" w:fill="FFFFFF"/>
        <w:spacing w:after="300" w:line="384" w:lineRule="atLeast"/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</w:pP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Con la risposta a interpello n. </w:t>
      </w:r>
      <w:hyperlink r:id="rId17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443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viene poi affermato che il contributo a fondo perduto di cui all’art. 1 del DL 41/2021 non rileva ai fini della determinazione della soglia dei ricavi/compensi per l’accesso al regime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forfetario 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di cui all’</w:t>
      </w:r>
      <w:hyperlink r:id="rId18" w:anchor="Comma54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art. 1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 xml:space="preserve"> comma 54 della L. 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lastRenderedPageBreak/>
        <w:t>190/2014. Viene in sostanza ripreso quanto chiarito dalla circolare n. 5/2021 (§ 2.1), in cui si afferma che i contributi in esame “non attuano una determinata politica fiscale, ma hanno la finalità di compensare, almeno in parte, i gravi effetti economici e finanziari che hanno subito determinate categorie di operatori economici a seguito della diffusione della pandemia da COVID-19”.</w:t>
      </w:r>
    </w:p>
    <w:p w14:paraId="6666F4CB" w14:textId="77777777" w:rsidR="0094188C" w:rsidRPr="0094188C" w:rsidRDefault="0094188C" w:rsidP="0094188C">
      <w:pPr>
        <w:shd w:val="clear" w:color="auto" w:fill="FFFFFF"/>
        <w:spacing w:line="240" w:lineRule="auto"/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it-IT"/>
        </w:rPr>
      </w:pPr>
      <w:r w:rsidRPr="0094188C">
        <w:rPr>
          <w:rFonts w:ascii="Roboto" w:eastAsia="Times New Roman" w:hAnsi="Roboto" w:cs="Times New Roman"/>
          <w:i/>
          <w:iCs/>
          <w:color w:val="000000"/>
          <w:sz w:val="30"/>
          <w:szCs w:val="30"/>
          <w:lang w:eastAsia="it-IT"/>
        </w:rPr>
        <w:t>Alcuni chiarimenti sulla determinazione del fatturato</w:t>
      </w:r>
    </w:p>
    <w:p w14:paraId="16C9F7C0" w14:textId="77777777" w:rsidR="0094188C" w:rsidRPr="0094188C" w:rsidRDefault="0094188C" w:rsidP="0094188C">
      <w:pPr>
        <w:shd w:val="clear" w:color="auto" w:fill="FFFFFF"/>
        <w:spacing w:after="300" w:line="384" w:lineRule="atLeast"/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</w:pP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Fra i documenti di prassi pubblicati ieri, due afferiscono al calcolo dell’ammontare medio mensile del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fatturato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e dei corrispettivi per gli anni 2019 e 2020.</w:t>
      </w:r>
    </w:p>
    <w:p w14:paraId="5D3238B8" w14:textId="77777777" w:rsidR="0094188C" w:rsidRPr="0094188C" w:rsidRDefault="0094188C" w:rsidP="0094188C">
      <w:pPr>
        <w:shd w:val="clear" w:color="auto" w:fill="FFFFFF"/>
        <w:spacing w:after="300" w:line="384" w:lineRule="atLeast"/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</w:pP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In particolare, nella risposta a interpello n. </w:t>
      </w:r>
      <w:hyperlink r:id="rId19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438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, viene precisato che, nell’ambito del commercio di prodotti editoriali, le copie di libri stampate e stoccate in magazzino non rilevano ai fini del suddetto computo.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br/>
        <w:t>L’Agenzia ricorda che con riferimento a tale tipologia di attività, l’IVA è dovuta dall’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editore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, il quale calcola l’imposta sul prezzo di vendita al pubblico in base al numero di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copie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effettivamente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vendute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(in tal caso il momento impositivo coincide con l’effettiva vendita) o tenendo conto, per ciascuna testata o titolo, del numero di copie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consegnate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o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spedite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diminuito di una percentuale forfetaria a titolo di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resa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(in questa ipotesi si assume quale momento impositivo quello della consegna o spedizione).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br/>
        <w:t>Si comprende, dunque, come, ai fini del calcolo in esame, non possano rilevare i prodotti editoriali che non siano stati venduti, consegnati o spediti, ma che siano stati semplicemente immagazzinati.</w:t>
      </w:r>
    </w:p>
    <w:p w14:paraId="6AB6DEFB" w14:textId="77777777" w:rsidR="0094188C" w:rsidRPr="0094188C" w:rsidRDefault="0094188C" w:rsidP="0094188C">
      <w:pPr>
        <w:shd w:val="clear" w:color="auto" w:fill="FFFFFF"/>
        <w:spacing w:after="300" w:line="384" w:lineRule="atLeast"/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</w:pP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Con la risposta n. </w:t>
      </w:r>
      <w:hyperlink r:id="rId20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442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viene, invece, confermato il principio secondo cui possono entrare nella nozione di “fatturato” non soltanto i ricavi di cui all’</w:t>
      </w:r>
      <w:hyperlink r:id="rId21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art. 85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del TUIR, ma anche le somme che costituiscono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altri componenti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di reddito. Deve, quindi, tenersi conto, ai fini del conteggio, delle somme incassate a fronte della vendita di terreni agricoli e annessi fabbricati rurali (operazione fuori dal campo IVA </w:t>
      </w:r>
      <w:r w:rsidRPr="0094188C">
        <w:rPr>
          <w:rFonts w:ascii="Roboto Slab" w:eastAsia="Times New Roman" w:hAnsi="Roboto Slab" w:cs="Times New Roman"/>
          <w:i/>
          <w:iCs/>
          <w:color w:val="000000"/>
          <w:sz w:val="24"/>
          <w:szCs w:val="24"/>
          <w:lang w:eastAsia="it-IT"/>
        </w:rPr>
        <w:t>ex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</w:t>
      </w:r>
      <w:hyperlink r:id="rId22" w:anchor="Comma2" w:tgtFrame="_blank" w:history="1">
        <w:r w:rsidRPr="0094188C">
          <w:rPr>
            <w:rFonts w:ascii="Roboto Slab" w:eastAsia="Times New Roman" w:hAnsi="Roboto Slab" w:cs="Times New Roman"/>
            <w:color w:val="337AB7"/>
            <w:sz w:val="24"/>
            <w:szCs w:val="24"/>
            <w:u w:val="single"/>
            <w:lang w:eastAsia="it-IT"/>
          </w:rPr>
          <w:t>art. 2</w:t>
        </w:r>
      </w:hyperlink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 comma 2 lett. c) del DPR 633/72), anche qualora tali beni siano stati classificati fra le immobilizzazioni materiali e abbiano generato una </w:t>
      </w:r>
      <w:r w:rsidRPr="0094188C">
        <w:rPr>
          <w:rFonts w:ascii="Roboto Slab" w:eastAsia="Times New Roman" w:hAnsi="Roboto Slab" w:cs="Times New Roman"/>
          <w:b/>
          <w:bCs/>
          <w:color w:val="000000"/>
          <w:sz w:val="24"/>
          <w:szCs w:val="24"/>
          <w:lang w:eastAsia="it-IT"/>
        </w:rPr>
        <w:t>plusvalenza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t>.</w:t>
      </w:r>
      <w:r w:rsidRPr="0094188C">
        <w:rPr>
          <w:rFonts w:ascii="Roboto Slab" w:eastAsia="Times New Roman" w:hAnsi="Roboto Slab" w:cs="Times New Roman"/>
          <w:color w:val="000000"/>
          <w:sz w:val="24"/>
          <w:szCs w:val="24"/>
          <w:lang w:eastAsia="it-IT"/>
        </w:rPr>
        <w:br/>
        <w:t>Inoltre, nell’ipotesi in cui la cessione fosse stata realizzata nel 2019, eventuali acconti incassati nell’anno precedente non assumerebbero rilevanza.</w:t>
      </w:r>
    </w:p>
    <w:sectPr w:rsidR="0094188C" w:rsidRPr="00941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352B"/>
    <w:multiLevelType w:val="multilevel"/>
    <w:tmpl w:val="E73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AA"/>
    <w:rsid w:val="001159AA"/>
    <w:rsid w:val="0016165E"/>
    <w:rsid w:val="003118B9"/>
    <w:rsid w:val="009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0A32"/>
  <w15:chartTrackingRefBased/>
  <w15:docId w15:val="{DCFF6D9A-DEB5-4F18-B9DF-859D91E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8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0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810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581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863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12" w:space="4" w:color="CCCCCC"/>
                                    <w:left w:val="none" w:sz="0" w:space="0" w:color="auto"/>
                                    <w:bottom w:val="single" w:sz="12" w:space="4" w:color="CCCCCC"/>
                                    <w:right w:val="none" w:sz="0" w:space="0" w:color="auto"/>
                                  </w:divBdr>
                                </w:div>
                                <w:div w:id="41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783">
                          <w:marLeft w:val="-225"/>
                          <w:marRight w:val="-22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332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3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9D9"/>
                            <w:right w:val="none" w:sz="0" w:space="0" w:color="auto"/>
                          </w:divBdr>
                          <w:divsChild>
                            <w:div w:id="11002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989671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87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6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7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3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6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CCCCCC"/>
                        <w:right w:val="single" w:sz="6" w:space="11" w:color="CCCCCC"/>
                      </w:divBdr>
                      <w:divsChild>
                        <w:div w:id="14754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76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40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79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45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0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3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4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70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9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19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80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759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0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9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tekne.it/Servizi/RassegnaPrassi/Testo.aspx?ID=355015&amp;IDSrc=100" TargetMode="External"/><Relationship Id="rId13" Type="http://schemas.openxmlformats.org/officeDocument/2006/relationships/hyperlink" Target="https://www.eutekne.it/Servizi/BancaDati/Testo.aspx?ID=357203&amp;IDSrc=100" TargetMode="External"/><Relationship Id="rId18" Type="http://schemas.openxmlformats.org/officeDocument/2006/relationships/hyperlink" Target="https://www.eutekne.it/Servizi/RassegnaLeggi/Recensione_Articolo.aspx?IDLegge=13056&amp;IDArticolo=314760&amp;IDSrc=1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tekne.it/Servizi/RassegnaLeggi/Recensione_Articolo.aspx?IDLegge=2708&amp;IDArticolo=39898&amp;IDSrc=100" TargetMode="External"/><Relationship Id="rId7" Type="http://schemas.openxmlformats.org/officeDocument/2006/relationships/hyperlink" Target="https://www.eutekne.it/Servizi/RassegnaLeggi/Recensione_Articolo.aspx?IDLegge=20397&amp;IDArticolo=534925&amp;IDSrc=100" TargetMode="External"/><Relationship Id="rId12" Type="http://schemas.openxmlformats.org/officeDocument/2006/relationships/hyperlink" Target="https://www.eutekne.it/Servizi/BancaDati/Testo.aspx?ID=357197&amp;IDSrc=100" TargetMode="External"/><Relationship Id="rId17" Type="http://schemas.openxmlformats.org/officeDocument/2006/relationships/hyperlink" Target="https://www.eutekne.it/Servizi/BancaDati/Testo.aspx?ID=357202&amp;IDSrc=1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tekne.it/Servizi/RassegnaLeggi/Recensione_Articolo.aspx?IDLegge=16&amp;IDArticolo=36310&amp;IDSrc=100" TargetMode="External"/><Relationship Id="rId20" Type="http://schemas.openxmlformats.org/officeDocument/2006/relationships/hyperlink" Target="https://www.eutekne.it/Servizi/BancaDati/Testo.aspx?ID=357201&amp;IDSrc=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tekne.it/Servizi/BancaDati/Testo.aspx?ID=357204&amp;IDSrc=100" TargetMode="External"/><Relationship Id="rId11" Type="http://schemas.openxmlformats.org/officeDocument/2006/relationships/hyperlink" Target="https://www.eutekne.it/Servizi/RassegnaPrassi/Testo.aspx?ID=336737&amp;IDSrc=1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utekne.it/Servizi/BancaDati/Testo.aspx?ID=357196&amp;IDSrc=100" TargetMode="External"/><Relationship Id="rId15" Type="http://schemas.openxmlformats.org/officeDocument/2006/relationships/hyperlink" Target="https://www.eutekne.it/Servizi/RassegnaPrassi/Testo.aspx?ID=357200&amp;IDSrc=1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utekne.it/Servizi/RassegnaPrassi/Testo.aspx?ID=334796&amp;IDSrc=100" TargetMode="External"/><Relationship Id="rId19" Type="http://schemas.openxmlformats.org/officeDocument/2006/relationships/hyperlink" Target="https://www.eutekne.it/Servizi/BancaDati/Testo.aspx?ID=357196&amp;IDSrc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tekne.it/Servizi/RassegnaLeggi/Recensione_Articolo.aspx?IDLegge=19329&amp;IDArticolo=507962&amp;IDSrc=100" TargetMode="External"/><Relationship Id="rId14" Type="http://schemas.openxmlformats.org/officeDocument/2006/relationships/hyperlink" Target="https://www.eutekne.it/Servizi/RassegnaPrassi/Testo.aspx?ID=357199&amp;IDSrc=100" TargetMode="External"/><Relationship Id="rId22" Type="http://schemas.openxmlformats.org/officeDocument/2006/relationships/hyperlink" Target="https://www.eutekne.it/Servizi/RassegnaLeggi/Recensione_Articolo.aspx?IDLegge=12&amp;IDArticolo=36220&amp;IDSrc=1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EE8761</dc:creator>
  <cp:keywords/>
  <dc:description/>
  <cp:lastModifiedBy>EE8761</cp:lastModifiedBy>
  <cp:revision>3</cp:revision>
  <dcterms:created xsi:type="dcterms:W3CDTF">2021-06-25T14:44:00Z</dcterms:created>
  <dcterms:modified xsi:type="dcterms:W3CDTF">2021-07-04T15:57:00Z</dcterms:modified>
</cp:coreProperties>
</file>